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0875" w14:textId="4E7DB337" w:rsidR="00E97963" w:rsidRDefault="00E97963" w:rsidP="00E97963">
      <w:pPr>
        <w:jc w:val="right"/>
        <w:rPr>
          <w:b/>
          <w:bCs/>
        </w:rPr>
      </w:pPr>
      <w:r w:rsidRPr="00E97963">
        <w:rPr>
          <w:b/>
          <w:b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90A9944" wp14:editId="435E9EE3">
            <wp:simplePos x="0" y="0"/>
            <wp:positionH relativeFrom="column">
              <wp:posOffset>-116951</wp:posOffset>
            </wp:positionH>
            <wp:positionV relativeFrom="paragraph">
              <wp:posOffset>-395605</wp:posOffset>
            </wp:positionV>
            <wp:extent cx="1624330" cy="86868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o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7C5A9" w14:textId="7470BAFB" w:rsidR="00E97963" w:rsidRDefault="00E97963" w:rsidP="00E97963">
      <w:pPr>
        <w:jc w:val="right"/>
        <w:rPr>
          <w:b/>
          <w:bCs/>
        </w:rPr>
      </w:pPr>
    </w:p>
    <w:p w14:paraId="23C237A1" w14:textId="77777777" w:rsidR="00E97963" w:rsidRDefault="00E97963" w:rsidP="00E97963">
      <w:pPr>
        <w:jc w:val="right"/>
        <w:rPr>
          <w:b/>
          <w:bCs/>
        </w:rPr>
      </w:pPr>
    </w:p>
    <w:p w14:paraId="0488DFC0" w14:textId="45D6C9C8" w:rsidR="00E97963" w:rsidRPr="00E97963" w:rsidRDefault="00E97963" w:rsidP="00E97963">
      <w:pPr>
        <w:jc w:val="right"/>
      </w:pPr>
      <w:r w:rsidRPr="00E97963">
        <w:t>Praha 16. dubna 2025</w:t>
      </w:r>
    </w:p>
    <w:p w14:paraId="1176A02B" w14:textId="24390AA1" w:rsidR="00E97963" w:rsidRDefault="00E97963" w:rsidP="00E97963">
      <w:pPr>
        <w:pStyle w:val="Nzev"/>
      </w:pPr>
    </w:p>
    <w:p w14:paraId="42778B67" w14:textId="4751354D" w:rsidR="00E97963" w:rsidRDefault="00E97963" w:rsidP="00E97963">
      <w:pPr>
        <w:pStyle w:val="Nzev"/>
      </w:pPr>
      <w:r>
        <w:t>Celní o</w:t>
      </w:r>
      <w:r w:rsidRPr="00E97963">
        <w:t>patření administrativy USA a dopady na ČR</w:t>
      </w:r>
    </w:p>
    <w:p w14:paraId="67131326" w14:textId="39F7EFD7" w:rsidR="00E97963" w:rsidRDefault="00E97963" w:rsidP="00E97963">
      <w:pPr>
        <w:pStyle w:val="Podnadpis"/>
      </w:pPr>
      <w:r>
        <w:t>Podklad Ministerstva průmyslu a obchodu pro jednání Rady hospodářské a sociální dohody ČR</w:t>
      </w:r>
    </w:p>
    <w:p w14:paraId="4EBB8F51" w14:textId="1EE6903B" w:rsidR="00E97963" w:rsidRDefault="00E97963" w:rsidP="00E97963"/>
    <w:p w14:paraId="0F213FE5" w14:textId="32B2F801" w:rsidR="00E97963" w:rsidRPr="00E97963" w:rsidRDefault="00E97963" w:rsidP="00E97963"/>
    <w:p w14:paraId="3CFB3CAF" w14:textId="7F37BAC6" w:rsidR="00086CF6" w:rsidRPr="00086CF6" w:rsidRDefault="00086CF6" w:rsidP="00086CF6">
      <w:pPr>
        <w:jc w:val="both"/>
        <w:rPr>
          <w:sz w:val="24"/>
          <w:szCs w:val="24"/>
        </w:rPr>
      </w:pPr>
      <w:r w:rsidRPr="00086CF6">
        <w:rPr>
          <w:sz w:val="24"/>
          <w:szCs w:val="24"/>
        </w:rPr>
        <w:t xml:space="preserve">Nová americká administrativa prezidenta Trumpa začala po zahájení svého funkčního období implementovat opatření nastíněná v rámci America </w:t>
      </w:r>
      <w:proofErr w:type="spellStart"/>
      <w:r w:rsidRPr="00086CF6">
        <w:rPr>
          <w:sz w:val="24"/>
          <w:szCs w:val="24"/>
        </w:rPr>
        <w:t>First</w:t>
      </w:r>
      <w:proofErr w:type="spellEnd"/>
      <w:r w:rsidRPr="00086CF6">
        <w:rPr>
          <w:sz w:val="24"/>
          <w:szCs w:val="24"/>
        </w:rPr>
        <w:t xml:space="preserve"> </w:t>
      </w:r>
      <w:proofErr w:type="spellStart"/>
      <w:r w:rsidRPr="00086CF6">
        <w:rPr>
          <w:sz w:val="24"/>
          <w:szCs w:val="24"/>
        </w:rPr>
        <w:t>Trade</w:t>
      </w:r>
      <w:proofErr w:type="spellEnd"/>
      <w:r w:rsidRPr="00086CF6">
        <w:rPr>
          <w:sz w:val="24"/>
          <w:szCs w:val="24"/>
        </w:rPr>
        <w:t xml:space="preserve"> </w:t>
      </w:r>
      <w:proofErr w:type="spellStart"/>
      <w:r w:rsidRPr="00086CF6">
        <w:rPr>
          <w:sz w:val="24"/>
          <w:szCs w:val="24"/>
        </w:rPr>
        <w:t>Policy</w:t>
      </w:r>
      <w:proofErr w:type="spellEnd"/>
      <w:r w:rsidRPr="00086CF6">
        <w:rPr>
          <w:sz w:val="24"/>
          <w:szCs w:val="24"/>
        </w:rPr>
        <w:t>, která má cílit na ochranu pracovních míst v USA, posílení zahraničních investic a přesunu výroby firem do USA</w:t>
      </w:r>
      <w:r>
        <w:rPr>
          <w:sz w:val="24"/>
          <w:szCs w:val="24"/>
        </w:rPr>
        <w:t>. Ve světle této politiky</w:t>
      </w:r>
      <w:r w:rsidRPr="00086CF6">
        <w:rPr>
          <w:sz w:val="24"/>
          <w:szCs w:val="24"/>
        </w:rPr>
        <w:t xml:space="preserve"> zavedla </w:t>
      </w:r>
      <w:r>
        <w:rPr>
          <w:sz w:val="24"/>
          <w:szCs w:val="24"/>
        </w:rPr>
        <w:t xml:space="preserve">americká administrativa </w:t>
      </w:r>
      <w:r w:rsidRPr="00086CF6">
        <w:rPr>
          <w:sz w:val="24"/>
          <w:szCs w:val="24"/>
        </w:rPr>
        <w:t xml:space="preserve">cla zatím ve třech krocích: </w:t>
      </w:r>
    </w:p>
    <w:p w14:paraId="0D53D647" w14:textId="47D5D8DC" w:rsidR="00086CF6" w:rsidRPr="00086CF6" w:rsidRDefault="00086CF6" w:rsidP="00086CF6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086CF6">
        <w:rPr>
          <w:sz w:val="24"/>
          <w:szCs w:val="24"/>
        </w:rPr>
        <w:t xml:space="preserve">Prvním krokem bylo zavedení cel na ocel, hliník a derivátové výrobky ve výši 25 %, která vstoupila v platnost 12. března 2025. </w:t>
      </w:r>
      <w:r>
        <w:rPr>
          <w:sz w:val="24"/>
          <w:szCs w:val="24"/>
        </w:rPr>
        <w:t>Cla se vztahují přibližně na 28 mld. USD evropských vývozů do USA. Kromě dovozů z EU jsou předmětem cel také Austrálie, Brazílie, Kanada, Mexiko či Japonsko.</w:t>
      </w:r>
    </w:p>
    <w:p w14:paraId="645006F5" w14:textId="6649584A" w:rsidR="00086CF6" w:rsidRPr="00086CF6" w:rsidRDefault="00086CF6" w:rsidP="00086CF6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 w:rsidRPr="00086CF6">
        <w:rPr>
          <w:sz w:val="24"/>
          <w:szCs w:val="24"/>
        </w:rPr>
        <w:t>Následně byla oznámena cla na dovozy automobilů, lehkých nákladních automobilů a autodílů (motory a jejich součástky, převodovky a hřídele, elektrické součástky) ve výši 25 %. Cla na dovozy automobilů začala platit od 2.</w:t>
      </w:r>
      <w:r>
        <w:rPr>
          <w:sz w:val="24"/>
          <w:szCs w:val="24"/>
        </w:rPr>
        <w:t xml:space="preserve"> </w:t>
      </w:r>
      <w:r w:rsidRPr="00086CF6">
        <w:rPr>
          <w:sz w:val="24"/>
          <w:szCs w:val="24"/>
        </w:rPr>
        <w:t xml:space="preserve">dubna 2025, cla na dovozy autodílů začnou platit nejpozději 3. května 2025. </w:t>
      </w:r>
      <w:r>
        <w:rPr>
          <w:sz w:val="24"/>
          <w:szCs w:val="24"/>
        </w:rPr>
        <w:t xml:space="preserve">Tato cla se vztahují na dovozy </w:t>
      </w:r>
      <w:r w:rsidR="00F67F1C">
        <w:rPr>
          <w:sz w:val="24"/>
          <w:szCs w:val="24"/>
        </w:rPr>
        <w:t xml:space="preserve">automobilů do USA </w:t>
      </w:r>
      <w:r>
        <w:rPr>
          <w:sz w:val="24"/>
          <w:szCs w:val="24"/>
        </w:rPr>
        <w:t>z celého světa.</w:t>
      </w:r>
      <w:r w:rsidR="00F67F1C">
        <w:rPr>
          <w:sz w:val="24"/>
          <w:szCs w:val="24"/>
        </w:rPr>
        <w:t xml:space="preserve"> V případě dovozů v rámci dohody USA-</w:t>
      </w:r>
      <w:proofErr w:type="spellStart"/>
      <w:r w:rsidR="00F67F1C">
        <w:rPr>
          <w:sz w:val="24"/>
          <w:szCs w:val="24"/>
        </w:rPr>
        <w:t>Mexico</w:t>
      </w:r>
      <w:proofErr w:type="spellEnd"/>
      <w:r w:rsidR="00F67F1C">
        <w:rPr>
          <w:sz w:val="24"/>
          <w:szCs w:val="24"/>
        </w:rPr>
        <w:t>-</w:t>
      </w:r>
      <w:proofErr w:type="spellStart"/>
      <w:r w:rsidR="00F67F1C">
        <w:rPr>
          <w:sz w:val="24"/>
          <w:szCs w:val="24"/>
        </w:rPr>
        <w:t>Canada</w:t>
      </w:r>
      <w:proofErr w:type="spellEnd"/>
      <w:r w:rsidR="00F67F1C">
        <w:rPr>
          <w:sz w:val="24"/>
          <w:szCs w:val="24"/>
        </w:rPr>
        <w:t xml:space="preserve"> (USMCA) jsou </w:t>
      </w:r>
      <w:proofErr w:type="gramStart"/>
      <w:r w:rsidR="00F67F1C">
        <w:rPr>
          <w:sz w:val="24"/>
          <w:szCs w:val="24"/>
        </w:rPr>
        <w:t>25%</w:t>
      </w:r>
      <w:proofErr w:type="gramEnd"/>
      <w:r w:rsidR="00F67F1C">
        <w:rPr>
          <w:sz w:val="24"/>
          <w:szCs w:val="24"/>
        </w:rPr>
        <w:t xml:space="preserve"> clem zatížené pouze neamerické části dovážených vozidel a autodílů.</w:t>
      </w:r>
    </w:p>
    <w:p w14:paraId="6D27C270" w14:textId="647FF562" w:rsidR="00086CF6" w:rsidRPr="00086CF6" w:rsidRDefault="00086CF6" w:rsidP="00086CF6">
      <w:pPr>
        <w:pStyle w:val="Odstavecseseznamem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86CF6">
        <w:rPr>
          <w:sz w:val="24"/>
          <w:szCs w:val="24"/>
        </w:rPr>
        <w:t xml:space="preserve">dubna byla prezidentem Trumpem oznámena plošná cla na veškeré dovozy do USA kromě strategických komodit, za které jsou označeny polovodiče, léčiva, dřevo (zde se potenciálně chystají podobná sektorová cla jako u aut a autodílů), měď, energie a suroviny, které se ve Spojených státech netěží. Od 5. dubna jsou veškeré dovozy zboží do USA až na výjimky a kategorie produktů s individuální celní sazbou (ocel a hliník, automobily) zatížené clem ve výši 10 %, na dovozy z Evropské unie </w:t>
      </w:r>
      <w:r w:rsidR="00982C8A">
        <w:rPr>
          <w:sz w:val="24"/>
          <w:szCs w:val="24"/>
        </w:rPr>
        <w:t xml:space="preserve">mělo být </w:t>
      </w:r>
      <w:r w:rsidRPr="00086CF6">
        <w:rPr>
          <w:sz w:val="24"/>
          <w:szCs w:val="24"/>
        </w:rPr>
        <w:t xml:space="preserve">od 9. dubna uvaleno clo ve výši 20 %. </w:t>
      </w:r>
    </w:p>
    <w:p w14:paraId="7570EB0C" w14:textId="78478142" w:rsidR="00086CF6" w:rsidRDefault="00086CF6" w:rsidP="00086CF6">
      <w:pPr>
        <w:jc w:val="both"/>
        <w:rPr>
          <w:sz w:val="24"/>
          <w:szCs w:val="24"/>
        </w:rPr>
      </w:pPr>
      <w:r w:rsidRPr="00086CF6">
        <w:rPr>
          <w:sz w:val="24"/>
          <w:szCs w:val="24"/>
        </w:rPr>
        <w:t>Další země s individuálními sazbami cel jsou například Čína s 34 % (s dalšími nově oznámenými 50 % kumulativní sazba 104 %), Japonsko s 24 % nebo Vietnam s 46 %, nižší cla má například Velká Británie (10 %). Celkově americká cla zasahují dovozy z EU do USA ve výši 380 miliard EUR, s náklady přibližně 80 miliard EUR na clech ročně</w:t>
      </w:r>
      <w:r w:rsidR="00F67F1C">
        <w:rPr>
          <w:sz w:val="24"/>
          <w:szCs w:val="24"/>
        </w:rPr>
        <w:t>.</w:t>
      </w:r>
      <w:r w:rsidR="00982C8A">
        <w:rPr>
          <w:sz w:val="24"/>
          <w:szCs w:val="24"/>
        </w:rPr>
        <w:t xml:space="preserve"> U všech plošných opatření (nikoliv sektorových) oznámil prezident Trump 9. dubna zmrazení </w:t>
      </w:r>
      <w:r w:rsidR="00862275">
        <w:rPr>
          <w:sz w:val="24"/>
          <w:szCs w:val="24"/>
        </w:rPr>
        <w:t xml:space="preserve">individuálních sazeb </w:t>
      </w:r>
      <w:r w:rsidR="00982C8A">
        <w:rPr>
          <w:sz w:val="24"/>
          <w:szCs w:val="24"/>
        </w:rPr>
        <w:t>na 90 dní</w:t>
      </w:r>
      <w:r w:rsidR="00862275">
        <w:rPr>
          <w:sz w:val="24"/>
          <w:szCs w:val="24"/>
        </w:rPr>
        <w:t xml:space="preserve"> do 9. července 2025</w:t>
      </w:r>
      <w:r w:rsidR="00982C8A">
        <w:rPr>
          <w:sz w:val="24"/>
          <w:szCs w:val="24"/>
        </w:rPr>
        <w:t xml:space="preserve">, a to vůči všem zemím s výjimkou Číny. V této chvíli tedy na EU platí sektorová cla ve výši 25 % a plošná 10 % cla. </w:t>
      </w:r>
    </w:p>
    <w:p w14:paraId="52B7C625" w14:textId="241BBE1D" w:rsidR="00F67F1C" w:rsidRDefault="00F67F1C" w:rsidP="00086CF6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Kroky ze strany Evropské unie</w:t>
      </w:r>
    </w:p>
    <w:p w14:paraId="4E303C29" w14:textId="38D67A57" w:rsidR="00F67F1C" w:rsidRPr="00F67F1C" w:rsidRDefault="00F67F1C" w:rsidP="00F67F1C">
      <w:pPr>
        <w:jc w:val="both"/>
        <w:rPr>
          <w:sz w:val="24"/>
          <w:szCs w:val="24"/>
        </w:rPr>
      </w:pPr>
      <w:r w:rsidRPr="00F67F1C">
        <w:rPr>
          <w:sz w:val="24"/>
          <w:szCs w:val="24"/>
        </w:rPr>
        <w:t>V reakci na americká cla je primárním cílem E</w:t>
      </w:r>
      <w:r>
        <w:rPr>
          <w:sz w:val="24"/>
          <w:szCs w:val="24"/>
        </w:rPr>
        <w:t>vropské unie</w:t>
      </w:r>
      <w:r w:rsidRPr="00F67F1C">
        <w:rPr>
          <w:sz w:val="24"/>
          <w:szCs w:val="24"/>
        </w:rPr>
        <w:t xml:space="preserve"> s USA jednat a dosáhnout smírného řešení. Nicméně EU je připravena také adekvátně reagovat vlastními protiopatřeními, jak opakovaně deklaruje vedení Evropské komise. Komisař pro obchod a ekonomickou bezpečnost Maroš </w:t>
      </w:r>
      <w:proofErr w:type="spellStart"/>
      <w:r w:rsidRPr="00F67F1C">
        <w:rPr>
          <w:sz w:val="24"/>
          <w:szCs w:val="24"/>
        </w:rPr>
        <w:t>Šefčovič</w:t>
      </w:r>
      <w:proofErr w:type="spellEnd"/>
      <w:r w:rsidRPr="00F67F1C">
        <w:rPr>
          <w:sz w:val="24"/>
          <w:szCs w:val="24"/>
        </w:rPr>
        <w:t xml:space="preserve"> je v pravidelném kontaktu se zástupci USA, přičemž v rámci jednání apeluje na připravenost EU jednat o zájmových oblastech USA, a rovněž odstraňovat překážky obchodu. Komisař americké straně rovněž navrhl vzájemné snížení cel na nulu pro dovozy automobilů a dalších průmyslových produktů. Nicméně ze strany USA se zatím čeká na další evropskou nabídku.  Pozici EK a připravenost reagovat na ochranu evropských zájmů, ale s preferencí dohody, potvrdila i Rada ministrů odpovědných za obchod v Lucemburku, jež proběhla 7. dubna 2025. Tato pozice reflektuje také pozici české vlády</w:t>
      </w:r>
      <w:r w:rsidR="00E051F5">
        <w:rPr>
          <w:sz w:val="24"/>
          <w:szCs w:val="24"/>
        </w:rPr>
        <w:t>, jak zaznělo také na jednání Vlády ČR 9. dubna 2025.</w:t>
      </w:r>
    </w:p>
    <w:p w14:paraId="5590E516" w14:textId="77777777" w:rsidR="00535D21" w:rsidRDefault="006575E8" w:rsidP="00F67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Evropská unie nemá s USA uzavřenou obchodní dohodu, která by zajišťovala preferenční zacházení pro evropské dovozy, proto se reakce ze strany EU řídí pravidly Světové obchodní organizace (WTO). Při navrhování jednostranných opatření </w:t>
      </w:r>
      <w:r w:rsidRPr="006575E8">
        <w:rPr>
          <w:sz w:val="24"/>
          <w:szCs w:val="24"/>
        </w:rPr>
        <w:t>postupuje EK podle unijní legislativy v oblasti obchodní politiky</w:t>
      </w:r>
      <w:r w:rsidR="00535D21">
        <w:rPr>
          <w:sz w:val="24"/>
          <w:szCs w:val="24"/>
        </w:rPr>
        <w:t>:</w:t>
      </w:r>
    </w:p>
    <w:p w14:paraId="76BC545E" w14:textId="41DC1624" w:rsidR="006575E8" w:rsidRPr="00535D21" w:rsidRDefault="00535D21" w:rsidP="00535D21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 w:rsidRPr="00535D21">
        <w:rPr>
          <w:sz w:val="24"/>
          <w:szCs w:val="24"/>
        </w:rPr>
        <w:t>V</w:t>
      </w:r>
      <w:r w:rsidR="00E06C46" w:rsidRPr="00535D21">
        <w:rPr>
          <w:sz w:val="24"/>
          <w:szCs w:val="24"/>
        </w:rPr>
        <w:t> případě první reakce se Komise opírá o</w:t>
      </w:r>
      <w:r w:rsidR="00E06C46" w:rsidRPr="00641B3B">
        <w:rPr>
          <w:b/>
          <w:bCs/>
          <w:sz w:val="24"/>
          <w:szCs w:val="24"/>
        </w:rPr>
        <w:t xml:space="preserve"> Nařízení o výkonu práv Unie za účelem uplatňování a prosazování pravidel mezinárodního obchodu</w:t>
      </w:r>
      <w:r w:rsidR="00E06C46" w:rsidRPr="00535D21">
        <w:rPr>
          <w:sz w:val="24"/>
          <w:szCs w:val="24"/>
        </w:rPr>
        <w:t xml:space="preserve"> (tzv. </w:t>
      </w:r>
      <w:proofErr w:type="spellStart"/>
      <w:r w:rsidR="00E06C46" w:rsidRPr="00535D21">
        <w:rPr>
          <w:sz w:val="24"/>
          <w:szCs w:val="24"/>
        </w:rPr>
        <w:t>Enforcement</w:t>
      </w:r>
      <w:proofErr w:type="spellEnd"/>
      <w:r w:rsidR="00E06C46" w:rsidRPr="00535D21">
        <w:rPr>
          <w:sz w:val="24"/>
          <w:szCs w:val="24"/>
        </w:rPr>
        <w:t xml:space="preserve"> </w:t>
      </w:r>
      <w:proofErr w:type="spellStart"/>
      <w:r w:rsidR="00E06C46" w:rsidRPr="00535D21">
        <w:rPr>
          <w:sz w:val="24"/>
          <w:szCs w:val="24"/>
        </w:rPr>
        <w:t>Regulation</w:t>
      </w:r>
      <w:proofErr w:type="spellEnd"/>
      <w:r w:rsidR="00E06C46" w:rsidRPr="00535D21">
        <w:rPr>
          <w:sz w:val="24"/>
          <w:szCs w:val="24"/>
        </w:rPr>
        <w:t xml:space="preserve">). Na základě tohoto nařízení může EU jednat v situaci, kdy je mechanismus řešení sporů, ve WTO či dle bilaterálních dohod o volném obchodu (dále jen FTA), nefunkční. Přijmout protiopatření lze v oblasti obchodu zbožím (uvalení nových cel, zvýšení cel, suspendování závazků v oblasti cel, zavedení kvót, dovozních/vývozních licencí), veřejných zakázek (vyloučení dodavatelů z veřejných zakázek, zavedení povinné cenové pokuty) a od roku 2021 po revizi nařízení také v oblasti služeb (zavedení restrikcí či suspendování závazků v oblasti služeb) a některých obchodních aspektů práv k duševnímu vlastnictví. Reakce musí být proporční – úroveň protiopatření nesmí překročit výši narušení obchodních zájmů EU v důsledku aktivit třetí země. </w:t>
      </w:r>
      <w:proofErr w:type="spellStart"/>
      <w:r w:rsidR="00E06C46" w:rsidRPr="00535D21">
        <w:rPr>
          <w:sz w:val="24"/>
          <w:szCs w:val="24"/>
        </w:rPr>
        <w:t>Enforcement</w:t>
      </w:r>
      <w:proofErr w:type="spellEnd"/>
      <w:r w:rsidR="00E06C46" w:rsidRPr="00535D21">
        <w:rPr>
          <w:sz w:val="24"/>
          <w:szCs w:val="24"/>
        </w:rPr>
        <w:t xml:space="preserve"> </w:t>
      </w:r>
      <w:proofErr w:type="spellStart"/>
      <w:r w:rsidR="00E06C46" w:rsidRPr="00535D21">
        <w:rPr>
          <w:sz w:val="24"/>
          <w:szCs w:val="24"/>
        </w:rPr>
        <w:t>Regulation</w:t>
      </w:r>
      <w:proofErr w:type="spellEnd"/>
      <w:r w:rsidR="00E06C46" w:rsidRPr="00535D21">
        <w:rPr>
          <w:sz w:val="24"/>
          <w:szCs w:val="24"/>
        </w:rPr>
        <w:t xml:space="preserve"> bylo použito již v roce 2018, kdy byla za první Trumpovy administrativy uložena neopodstatněná cla na dovozy oceli a hliníku ve výši 25 % a 10 % respektive.</w:t>
      </w:r>
    </w:p>
    <w:p w14:paraId="7BE299BA" w14:textId="2E5987BA" w:rsidR="00957CBA" w:rsidRPr="00535D21" w:rsidRDefault="00957CBA" w:rsidP="00535D21">
      <w:pPr>
        <w:pStyle w:val="Odstavecseseznamem"/>
        <w:numPr>
          <w:ilvl w:val="0"/>
          <w:numId w:val="39"/>
        </w:numPr>
        <w:jc w:val="both"/>
        <w:rPr>
          <w:sz w:val="24"/>
          <w:szCs w:val="24"/>
        </w:rPr>
      </w:pPr>
      <w:r w:rsidRPr="00535D21">
        <w:rPr>
          <w:sz w:val="24"/>
          <w:szCs w:val="24"/>
        </w:rPr>
        <w:t xml:space="preserve">Dalším nástrojem, který lze případně použít v reakci na americká cla, je </w:t>
      </w:r>
      <w:r w:rsidRPr="00641B3B">
        <w:rPr>
          <w:b/>
          <w:bCs/>
          <w:sz w:val="24"/>
          <w:szCs w:val="24"/>
        </w:rPr>
        <w:t>Nařízení o ochraně Unie a jejích členských států před hospodářským nátlakem třetích zemí</w:t>
      </w:r>
      <w:r w:rsidRPr="00535D21">
        <w:rPr>
          <w:sz w:val="24"/>
          <w:szCs w:val="24"/>
        </w:rPr>
        <w:t xml:space="preserve"> (tzv. Anti-</w:t>
      </w:r>
      <w:proofErr w:type="spellStart"/>
      <w:r w:rsidRPr="00535D21">
        <w:rPr>
          <w:sz w:val="24"/>
          <w:szCs w:val="24"/>
        </w:rPr>
        <w:t>coercion</w:t>
      </w:r>
      <w:proofErr w:type="spellEnd"/>
      <w:r w:rsidRPr="00535D21">
        <w:rPr>
          <w:sz w:val="24"/>
          <w:szCs w:val="24"/>
        </w:rPr>
        <w:t xml:space="preserve"> instrument, či ACI). Jedná se o zcela nový nástroj, který je v platnosti od prosince 2023 a zatím nebyl v praxi použit. Pokud by měl být ACI použit, musí EK předložit návrh a členské státy v Radě EU rozhodují kvalifikovanou většinou, zda je jednání třetí země ekonomickým nátlakem. Podle textu nařízení nastává ekonomický nátlak v situaci, kdy třetí země používá (či hrozí použít) obchodní či investiční opatření s cílem tlačit na EU nebo její členské státy, aby změnily svou legislativu či politiku. I v případě, že by bylo rozhodnuto o existenci ekonomického nátlaku, nejprve následuje snaha o řešení smírnou cestou. Pouze jako poslední možnost lze přistoupit k uvalení protiopatření. Ta mohou být uvalena ve stejných oblastech jako v případě </w:t>
      </w:r>
      <w:proofErr w:type="spellStart"/>
      <w:r w:rsidRPr="00535D21">
        <w:rPr>
          <w:sz w:val="24"/>
          <w:szCs w:val="24"/>
        </w:rPr>
        <w:t>Enforcement</w:t>
      </w:r>
      <w:proofErr w:type="spellEnd"/>
      <w:r w:rsidRPr="00535D21">
        <w:rPr>
          <w:sz w:val="24"/>
          <w:szCs w:val="24"/>
        </w:rPr>
        <w:t xml:space="preserve"> </w:t>
      </w:r>
      <w:proofErr w:type="spellStart"/>
      <w:r w:rsidRPr="00535D21">
        <w:rPr>
          <w:sz w:val="24"/>
          <w:szCs w:val="24"/>
        </w:rPr>
        <w:t>Regulation</w:t>
      </w:r>
      <w:proofErr w:type="spellEnd"/>
      <w:r w:rsidRPr="00535D21">
        <w:rPr>
          <w:sz w:val="24"/>
          <w:szCs w:val="24"/>
        </w:rPr>
        <w:t xml:space="preserve">, a navíc ještě v následujících oblastech: </w:t>
      </w:r>
      <w:r w:rsidRPr="00535D21">
        <w:rPr>
          <w:sz w:val="24"/>
          <w:szCs w:val="24"/>
        </w:rPr>
        <w:lastRenderedPageBreak/>
        <w:t>omezení přístupu zahraničních investic do EU, omezení ochrany práv k duševnímu vlastnictví, omezení poskytování finančních služeb a přístupu na kapitálové trhy, omezení vstupu výrobků na trh EU na základě regulace Unie pro chemické látky a omezení vstupu zboží na trh EU na základě sanitárních/fytosanitárních právních předpisů Unie.</w:t>
      </w:r>
    </w:p>
    <w:p w14:paraId="0C41C488" w14:textId="1C67C56E" w:rsidR="0059045E" w:rsidRDefault="00F67F1C" w:rsidP="00F67F1C">
      <w:pPr>
        <w:jc w:val="both"/>
        <w:rPr>
          <w:sz w:val="24"/>
          <w:szCs w:val="24"/>
        </w:rPr>
      </w:pPr>
      <w:r w:rsidRPr="00F67F1C">
        <w:rPr>
          <w:sz w:val="24"/>
          <w:szCs w:val="24"/>
        </w:rPr>
        <w:t xml:space="preserve">Evropská komise v reakci na </w:t>
      </w:r>
      <w:r w:rsidR="00E06C46">
        <w:rPr>
          <w:sz w:val="24"/>
          <w:szCs w:val="24"/>
        </w:rPr>
        <w:t xml:space="preserve">současná americká </w:t>
      </w:r>
      <w:r w:rsidRPr="00F67F1C">
        <w:rPr>
          <w:sz w:val="24"/>
          <w:szCs w:val="24"/>
        </w:rPr>
        <w:t xml:space="preserve">připravuje protiopatření, jež by měla být cílená, proporční a dobře kalibrovaná. Cílem je se vyhnout eskalaci s USA a uplatnit „strategickou trpělivost“. EU připravila první sérii protiopatření v reakci na cla zavedená na ocel, hliník a derivátové </w:t>
      </w:r>
      <w:r w:rsidR="007D10EC">
        <w:rPr>
          <w:sz w:val="24"/>
          <w:szCs w:val="24"/>
        </w:rPr>
        <w:t>americké dovozy</w:t>
      </w:r>
      <w:r w:rsidRPr="00F67F1C">
        <w:rPr>
          <w:sz w:val="24"/>
          <w:szCs w:val="24"/>
        </w:rPr>
        <w:t xml:space="preserve"> ve výši přes 20 miliard EUR</w:t>
      </w:r>
      <w:r w:rsidR="007D10EC">
        <w:rPr>
          <w:sz w:val="24"/>
          <w:szCs w:val="24"/>
        </w:rPr>
        <w:t xml:space="preserve"> a s přibližně 5 miliardami EUR, které by měly být vybrané na unijních clech.</w:t>
      </w:r>
      <w:r w:rsidRPr="00F67F1C">
        <w:rPr>
          <w:sz w:val="24"/>
          <w:szCs w:val="24"/>
        </w:rPr>
        <w:t xml:space="preserve"> </w:t>
      </w:r>
      <w:r w:rsidR="007D10EC">
        <w:rPr>
          <w:sz w:val="24"/>
          <w:szCs w:val="24"/>
        </w:rPr>
        <w:t>Evropská c</w:t>
      </w:r>
      <w:r w:rsidRPr="00F67F1C">
        <w:rPr>
          <w:sz w:val="24"/>
          <w:szCs w:val="24"/>
        </w:rPr>
        <w:t xml:space="preserve">la </w:t>
      </w:r>
      <w:r w:rsidR="00EE7A0B">
        <w:rPr>
          <w:sz w:val="24"/>
          <w:szCs w:val="24"/>
        </w:rPr>
        <w:t>původně měla začít platit</w:t>
      </w:r>
      <w:r w:rsidRPr="00F67F1C">
        <w:rPr>
          <w:sz w:val="24"/>
          <w:szCs w:val="24"/>
        </w:rPr>
        <w:t xml:space="preserve"> ve dvou fázích: od 15.4. a od 16.5.</w:t>
      </w:r>
      <w:r w:rsidR="00EE7A0B">
        <w:rPr>
          <w:sz w:val="24"/>
          <w:szCs w:val="24"/>
        </w:rPr>
        <w:t xml:space="preserve">, nicméně jejich platnost byla odložena o 90 dní v návaznosti na odložení platnosti </w:t>
      </w:r>
      <w:r w:rsidR="007C19B1">
        <w:rPr>
          <w:sz w:val="24"/>
          <w:szCs w:val="24"/>
        </w:rPr>
        <w:t xml:space="preserve">individuálních </w:t>
      </w:r>
      <w:r w:rsidR="00EE7A0B">
        <w:rPr>
          <w:sz w:val="24"/>
          <w:szCs w:val="24"/>
        </w:rPr>
        <w:t xml:space="preserve">plošných cel ve výši </w:t>
      </w:r>
      <w:proofErr w:type="gramStart"/>
      <w:r w:rsidR="00EE7A0B">
        <w:rPr>
          <w:sz w:val="24"/>
          <w:szCs w:val="24"/>
        </w:rPr>
        <w:t>20%</w:t>
      </w:r>
      <w:proofErr w:type="gramEnd"/>
      <w:r w:rsidR="00EE7A0B">
        <w:rPr>
          <w:sz w:val="24"/>
          <w:szCs w:val="24"/>
        </w:rPr>
        <w:t xml:space="preserve"> ze strany USA. Toto období EU využije k vyjednávání s US stranou o možných řešeních.</w:t>
      </w:r>
      <w:r w:rsidRPr="00F67F1C">
        <w:rPr>
          <w:sz w:val="24"/>
          <w:szCs w:val="24"/>
        </w:rPr>
        <w:t xml:space="preserve"> </w:t>
      </w:r>
      <w:r w:rsidR="0059045E">
        <w:rPr>
          <w:sz w:val="24"/>
          <w:szCs w:val="24"/>
        </w:rPr>
        <w:t>Tento seznam položek zasažených EU protiopatřeními byl konzultován Ministerstvem průmyslu a obchodu ve spolupráci s oborovými asociacemi a českými firmami, tyto konzultace potvrdily, že klíčové vstupy do výroby v ČR se na seznamu až na vybrané položky nevyskytují, pro které MPO zažádalo o výjimku.</w:t>
      </w:r>
    </w:p>
    <w:p w14:paraId="57591708" w14:textId="0F42CE1F" w:rsidR="00F67F1C" w:rsidRDefault="00F67F1C" w:rsidP="00F67F1C">
      <w:pPr>
        <w:jc w:val="both"/>
        <w:rPr>
          <w:sz w:val="24"/>
          <w:szCs w:val="24"/>
        </w:rPr>
      </w:pPr>
      <w:r w:rsidRPr="00F67F1C">
        <w:rPr>
          <w:sz w:val="24"/>
          <w:szCs w:val="24"/>
        </w:rPr>
        <w:t>Reakce na další americká cla (tedy na automobily a autodíly a plošná cla na dovozy zboží) je nyní předmětem diskuze, včetně reakce i v jiné oblasti než obchod zbožím, jako je například duševní vlastnictví, služby, veřejné zakázky. Příprava dalších protiopatření bude jako doposud probíhat v aktivní spolupráci s členskými státy.</w:t>
      </w:r>
    </w:p>
    <w:p w14:paraId="33618D88" w14:textId="62F34721" w:rsidR="009538A5" w:rsidRPr="009538A5" w:rsidRDefault="009538A5" w:rsidP="00F67F1C">
      <w:pPr>
        <w:jc w:val="both"/>
        <w:rPr>
          <w:b/>
          <w:bCs/>
          <w:sz w:val="24"/>
          <w:szCs w:val="24"/>
        </w:rPr>
      </w:pPr>
      <w:r w:rsidRPr="009538A5">
        <w:rPr>
          <w:b/>
          <w:bCs/>
          <w:sz w:val="24"/>
          <w:szCs w:val="24"/>
        </w:rPr>
        <w:t>Dopady na Českou republiku</w:t>
      </w:r>
    </w:p>
    <w:p w14:paraId="697C309A" w14:textId="79691A86" w:rsidR="007763AA" w:rsidRDefault="007763AA" w:rsidP="009538A5">
      <w:pPr>
        <w:jc w:val="both"/>
        <w:rPr>
          <w:sz w:val="24"/>
          <w:szCs w:val="24"/>
        </w:rPr>
      </w:pPr>
      <w:r w:rsidRPr="007763AA">
        <w:rPr>
          <w:sz w:val="24"/>
          <w:szCs w:val="24"/>
        </w:rPr>
        <w:t xml:space="preserve">Podle současného předběžného odhadu EK bude dodatečným clům </w:t>
      </w:r>
      <w:r w:rsidR="00982C8A">
        <w:rPr>
          <w:sz w:val="24"/>
          <w:szCs w:val="24"/>
        </w:rPr>
        <w:t xml:space="preserve">(pokud by se neprodloužilo </w:t>
      </w:r>
      <w:r w:rsidR="00862275">
        <w:rPr>
          <w:sz w:val="24"/>
          <w:szCs w:val="24"/>
        </w:rPr>
        <w:t>pozastavení individuální sazby u</w:t>
      </w:r>
      <w:r w:rsidR="00982C8A">
        <w:rPr>
          <w:sz w:val="24"/>
          <w:szCs w:val="24"/>
        </w:rPr>
        <w:t xml:space="preserve"> plošných cel nebo nedošlo k jiné změně) </w:t>
      </w:r>
      <w:r w:rsidRPr="007763AA">
        <w:rPr>
          <w:sz w:val="24"/>
          <w:szCs w:val="24"/>
        </w:rPr>
        <w:t>podléhat vývoz z EU v celkové hodnotě přibližně 380 miliard EUR, z čehož přibližně 290 miliard EUR bude podléhat recipročním clům, 26 miliard EUR bude podléhat clům USA podle oddílu 232 na ocel a hliník a 67 miliard EUR bude podléhat clům USA podle oddílu 232 na automobily a automobilové díly. To by představovalo přibližně 70 % veškerého vývozu EU do USA. To by vedlo k dodatečným clům na vývoz z EU do USA ve výši přibližně 80 miliard EUR ročně.</w:t>
      </w:r>
    </w:p>
    <w:p w14:paraId="30E998B9" w14:textId="43533099" w:rsidR="009538A5" w:rsidRPr="009538A5" w:rsidRDefault="009538A5" w:rsidP="009538A5">
      <w:pPr>
        <w:jc w:val="both"/>
        <w:rPr>
          <w:sz w:val="24"/>
          <w:szCs w:val="24"/>
        </w:rPr>
      </w:pPr>
      <w:r w:rsidRPr="009538A5">
        <w:rPr>
          <w:sz w:val="24"/>
          <w:szCs w:val="24"/>
        </w:rPr>
        <w:t xml:space="preserve">Český export do USA za rok 2024 činil přibližně 190 miliard Kč (dle amerických statistik, které zohledňují i nepřímý obchod přes další země). Možné dopady můžeme rozdělit do tří skupin: </w:t>
      </w:r>
    </w:p>
    <w:p w14:paraId="0C94B3F9" w14:textId="43996CD8" w:rsidR="009538A5" w:rsidRPr="009538A5" w:rsidRDefault="009538A5" w:rsidP="009538A5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 w:rsidRPr="009538A5">
        <w:rPr>
          <w:sz w:val="24"/>
          <w:szCs w:val="24"/>
        </w:rPr>
        <w:t xml:space="preserve">Přímé dopady na export – ani se současným celním zatížením vývozů do USA nedojde k okamžitému či úplnému pozastavení obchodu s USA (u určitých výrobků lze náklady na cla přenést do marží, některé výrobky nelze nahradit jiným dovozem či se jedná o již nasmlouvané dovozy). Zcela určitě může dojít k výrazným ztrátám, pokud nedojde k dohodě s USA. </w:t>
      </w:r>
    </w:p>
    <w:p w14:paraId="3FC904DD" w14:textId="08098A67" w:rsidR="009538A5" w:rsidRPr="009538A5" w:rsidRDefault="009538A5" w:rsidP="009538A5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 w:rsidRPr="009538A5">
        <w:rPr>
          <w:sz w:val="24"/>
          <w:szCs w:val="24"/>
        </w:rPr>
        <w:t xml:space="preserve">Nelze opomíjet také nepřímé dopady přes partnerské ekonomiky v EU (Německo a další státy, mezi výrazně postiženými budou dále Irsko, Itálie či Slovensko). Prozatímní odhad dopadu na české HDP je dle Ministerstva financí mezi 0,6 - 0,7 %, v negativnějších prognózách se může jednat až o jednotky procent HDP. </w:t>
      </w:r>
    </w:p>
    <w:p w14:paraId="1DCC6EF9" w14:textId="502B841C" w:rsidR="009538A5" w:rsidRPr="009538A5" w:rsidRDefault="009538A5" w:rsidP="009538A5">
      <w:pPr>
        <w:pStyle w:val="Odstavecseseznamem"/>
        <w:numPr>
          <w:ilvl w:val="0"/>
          <w:numId w:val="38"/>
        </w:numPr>
        <w:jc w:val="both"/>
        <w:rPr>
          <w:sz w:val="24"/>
          <w:szCs w:val="24"/>
        </w:rPr>
      </w:pPr>
      <w:r w:rsidRPr="009538A5">
        <w:rPr>
          <w:sz w:val="24"/>
          <w:szCs w:val="24"/>
        </w:rPr>
        <w:lastRenderedPageBreak/>
        <w:t xml:space="preserve">Mezi pravděpodobné dopady patří také přesměrování </w:t>
      </w:r>
      <w:r w:rsidR="00982C8A">
        <w:rPr>
          <w:sz w:val="24"/>
          <w:szCs w:val="24"/>
        </w:rPr>
        <w:t>produktů</w:t>
      </w:r>
      <w:r w:rsidR="00982C8A" w:rsidRPr="009538A5">
        <w:rPr>
          <w:sz w:val="24"/>
          <w:szCs w:val="24"/>
        </w:rPr>
        <w:t xml:space="preserve"> </w:t>
      </w:r>
      <w:r w:rsidRPr="009538A5">
        <w:rPr>
          <w:sz w:val="24"/>
          <w:szCs w:val="24"/>
        </w:rPr>
        <w:t>z trhů zasažených americkými cly na ten evropský, Evropská komise situaci aktivně monitoruje a je v případě potřeby připravena aktivovat nástroje na ochranu obchodu.</w:t>
      </w:r>
    </w:p>
    <w:p w14:paraId="0835B11B" w14:textId="307802B6" w:rsidR="008D0CCD" w:rsidRPr="008D0CCD" w:rsidRDefault="008D0CCD" w:rsidP="008D0CCD">
      <w:pPr>
        <w:jc w:val="both"/>
        <w:rPr>
          <w:sz w:val="24"/>
          <w:szCs w:val="24"/>
        </w:rPr>
      </w:pPr>
      <w:r w:rsidRPr="008D0CCD">
        <w:rPr>
          <w:sz w:val="24"/>
          <w:szCs w:val="24"/>
        </w:rPr>
        <w:t>USA sice nejsou pro ČR hlavním vývozním trhem, jsou však největším mimoevropským obchodním partnerem, významným také z hlediska nepřímých vývozů a přidané hodnoty. Riziko pro českou ekonomiku představuje zhoršení hospodářského vývoje v eurozóně, potažmo u našich hlavních obchodních partnerů. Zdražení vývozů do USA bude mít za následek pokles poptávky po evropském zboží ze strany amerických zákazníků a díky poklesu exportu do USA povede k nižšímu růstu evropských ekonomik. Zhoršení vývoje u našich obchodních partnerů v EU se negativně dotkne i naší ekonomiky díky vysoké obchodní provázanosti. Podle prvních odhadů MF (3. dubna) by růst českého HDP v letošním roce vlivem uvalených cel mohl být nižší o 0,6 až 0,7 p. b</w:t>
      </w:r>
      <w:r w:rsidR="00982C8A">
        <w:rPr>
          <w:sz w:val="24"/>
          <w:szCs w:val="24"/>
        </w:rPr>
        <w:t xml:space="preserve"> (za situace plošných 20 % cel)</w:t>
      </w:r>
      <w:r w:rsidRPr="008D0CCD">
        <w:rPr>
          <w:sz w:val="24"/>
          <w:szCs w:val="24"/>
        </w:rPr>
        <w:t>. R Uvedené dopady jsou nicméně orientační a budou se odvíjet od celé řady faktorů (např. rychlost, s jakou firmy v ČR a EU navážou nové obchodní vztahy, potenciální další eskalace obchodních válek).</w:t>
      </w:r>
    </w:p>
    <w:p w14:paraId="43E9C922" w14:textId="5FE1195A" w:rsidR="009538A5" w:rsidRPr="00FE200E" w:rsidRDefault="00BC6526" w:rsidP="009538A5">
      <w:pPr>
        <w:jc w:val="both"/>
        <w:rPr>
          <w:sz w:val="24"/>
          <w:szCs w:val="24"/>
        </w:rPr>
      </w:pPr>
      <w:r w:rsidRPr="00FE200E">
        <w:rPr>
          <w:sz w:val="24"/>
          <w:szCs w:val="24"/>
        </w:rPr>
        <w:t xml:space="preserve">Konkrétně z pohledů dopadů amerických cel na hliník a ocel a derivátové produkty, je třeba zmínit, že během předchozího vládnutí Trumpovy administrativy, kdy byla uvalena cla na ocel a hliník, došlo k částečnému přesměrování dodavatelských řetězců, dopady obnovených opatření by se tak měly dotknout zhruba 1 % českého exportu daných komodit. V roce 2024 vyvezla ČR do USA výrobky z hliníku a hliník v hodnotě 872 milionů CZK (dle dat ČSÚ), derivátové výrobky z hliníku v hodnotě 432,5 milionu USD a derivátové výrobky z oceli v hodnotě 149,1 milionu USD. </w:t>
      </w:r>
      <w:r w:rsidR="00FE200E" w:rsidRPr="00FE200E">
        <w:rPr>
          <w:sz w:val="24"/>
          <w:szCs w:val="24"/>
        </w:rPr>
        <w:t xml:space="preserve">Z hlediska vývozů automobilů nejsou USA pro český průmysl </w:t>
      </w:r>
      <w:r w:rsidR="00FE200E" w:rsidRPr="00FE200E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>klíčovým exportním trhem – v roce 2023 směřovalo do USA pouze 0,8 % automobilových vývozů v hodnotě 9,3 mld CZK. Přímo dopady jsou tedy nízké, očekávají se však nepřímé dopady skrze evropské, a především německé dodavatelské řetězce. Cla na autodíly mohou mít výrazný dopad na české dodavatele služeb a dílů, snížením poptávky po těchto subdodávkách, které jsou využívány ve vozidlech vyvážených z EU do USA.</w:t>
      </w:r>
    </w:p>
    <w:p w14:paraId="29FC9854" w14:textId="070CC01C" w:rsidR="009538A5" w:rsidRDefault="009538A5" w:rsidP="009538A5">
      <w:pPr>
        <w:jc w:val="both"/>
        <w:rPr>
          <w:sz w:val="24"/>
          <w:szCs w:val="24"/>
        </w:rPr>
      </w:pPr>
      <w:r w:rsidRPr="009538A5">
        <w:rPr>
          <w:sz w:val="24"/>
          <w:szCs w:val="24"/>
        </w:rPr>
        <w:t>Situace a dopady jsou konzultovány také s</w:t>
      </w:r>
      <w:r w:rsidR="00FC49BD">
        <w:rPr>
          <w:sz w:val="24"/>
          <w:szCs w:val="24"/>
        </w:rPr>
        <w:t>e zástupci podnikatelů</w:t>
      </w:r>
      <w:r w:rsidRPr="009538A5">
        <w:rPr>
          <w:sz w:val="24"/>
          <w:szCs w:val="24"/>
        </w:rPr>
        <w:t>, SP ČR, HK ČR, KZPS a AMSP.</w:t>
      </w:r>
    </w:p>
    <w:p w14:paraId="3A7EDFE1" w14:textId="2D260509" w:rsidR="00957CBA" w:rsidRDefault="00535D21" w:rsidP="00F67F1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Podpora českých firem</w:t>
      </w:r>
    </w:p>
    <w:p w14:paraId="759D2DEE" w14:textId="77777777" w:rsidR="00E7636A" w:rsidRPr="00E7636A" w:rsidRDefault="00E7636A" w:rsidP="00E7636A">
      <w:pPr>
        <w:jc w:val="both"/>
        <w:rPr>
          <w:sz w:val="24"/>
          <w:szCs w:val="24"/>
        </w:rPr>
      </w:pPr>
      <w:r w:rsidRPr="00E7636A">
        <w:rPr>
          <w:sz w:val="24"/>
          <w:szCs w:val="24"/>
        </w:rPr>
        <w:t xml:space="preserve">Ministerstvo průmyslu a obchodu situaci ve spolupráci se sektorovými partnery aktivně monitoruje a bude vládě předkládat pravidelné informace. O podpoře českých exportérů je možné mluvit především v následujících rovinách: </w:t>
      </w:r>
    </w:p>
    <w:p w14:paraId="29F7ED90" w14:textId="77746C48" w:rsidR="00E7636A" w:rsidRPr="00E7636A" w:rsidRDefault="00E7636A" w:rsidP="00E7636A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 w:rsidRPr="00E7636A">
        <w:rPr>
          <w:b/>
          <w:bCs/>
          <w:sz w:val="24"/>
          <w:szCs w:val="24"/>
        </w:rPr>
        <w:t>Národní nástroje</w:t>
      </w:r>
      <w:r w:rsidRPr="00E7636A">
        <w:rPr>
          <w:sz w:val="24"/>
          <w:szCs w:val="24"/>
        </w:rPr>
        <w:t xml:space="preserve"> – posílení podpory exportu, a to jak v zaměření na pomoc českým firmám na americkém trhu (jejich udržení </w:t>
      </w:r>
      <w:r w:rsidR="00D328D9">
        <w:rPr>
          <w:sz w:val="24"/>
          <w:szCs w:val="24"/>
        </w:rPr>
        <w:t xml:space="preserve">a podpora trvalé přítomnosti </w:t>
      </w:r>
      <w:r w:rsidRPr="00E7636A">
        <w:rPr>
          <w:sz w:val="24"/>
          <w:szCs w:val="24"/>
        </w:rPr>
        <w:t xml:space="preserve">na americkém trhu do té míry, jakou umožní nastavení cel a regulatorního prostředí), tak při jejich expanzi do jiných teritorií a posilování diverzifikace exportních trhů. Pomoc českým firmám při vstupu na americký trh již nyní nabízejí zahraniční kanceláře CzechTrade v Chicagu, Austinu a v New Yorku. Připravováno je otevření kanceláře v San Francisku. Kromě USA Ministerstvo průmyslu a obchodu zvažuje možnosti rozšíření kapacity služeb CzechTrade v dalších zemích, </w:t>
      </w:r>
      <w:r w:rsidRPr="00E7636A">
        <w:rPr>
          <w:sz w:val="24"/>
          <w:szCs w:val="24"/>
        </w:rPr>
        <w:lastRenderedPageBreak/>
        <w:t xml:space="preserve">dle dostupných zdrojů. Důležité je také udržení a případné posílení sítě ekonomických diplomatů, především v zemích vysokého potenciálu spolupráce vládního a soukromého sektoru. MPO v případě zajištění finančních prostředků bude rozšiřovat program Českých oficiálních účastí na zahraničních výstavách a veletrzích, a to jak na americkém trhu, tak ve světě. Ministerstvo průmyslu a obchodu projednává s Ministerstvem financí možnou podporu, s přihlédnutím k rozpočtové situaci. </w:t>
      </w:r>
    </w:p>
    <w:p w14:paraId="27616895" w14:textId="31287AEB" w:rsidR="00E7636A" w:rsidRPr="00E7636A" w:rsidRDefault="00E7636A" w:rsidP="00E7636A">
      <w:pPr>
        <w:pStyle w:val="Odstavecseseznamem"/>
        <w:jc w:val="both"/>
        <w:rPr>
          <w:sz w:val="24"/>
          <w:szCs w:val="24"/>
        </w:rPr>
      </w:pPr>
      <w:r w:rsidRPr="00E7636A">
        <w:rPr>
          <w:sz w:val="24"/>
          <w:szCs w:val="24"/>
        </w:rPr>
        <w:t>Asistenční a marketingové služby českým exportérům doplňují služby exportního financování a pojišťování poskytované ČEB a EGAP. Ty kromě financování a pojišťování exportních kontraktů podporují i širší strategické aktivity českých firem v USA a na dalších mimoevropských trzích, včetně financování akvizic v zahraničí, zakládání poboček, dceřiných poboček či výrob, ale s ponecháním centrály v ČR. V kontextu rostoucích obchodních překážek ve vztazích s USA je třeba vést diskusi o posílení finančních a pojišťovacích nástrojů pro tento trh</w:t>
      </w:r>
      <w:r w:rsidR="000E38DF">
        <w:rPr>
          <w:sz w:val="24"/>
          <w:szCs w:val="24"/>
        </w:rPr>
        <w:t>.</w:t>
      </w:r>
      <w:r w:rsidRPr="00E7636A">
        <w:rPr>
          <w:sz w:val="24"/>
          <w:szCs w:val="24"/>
        </w:rPr>
        <w:t xml:space="preserve"> Součástí možných opatření může být i posilování podpory proinvestičních aktivit</w:t>
      </w:r>
      <w:r w:rsidR="000E38DF">
        <w:rPr>
          <w:sz w:val="24"/>
          <w:szCs w:val="24"/>
        </w:rPr>
        <w:t>, včetně posílení lákání strategických zahraničních investic, které by posílily zdrojovou, produktovou i exportní diverzifikaci české ekonomiky.</w:t>
      </w:r>
    </w:p>
    <w:p w14:paraId="269BFD84" w14:textId="76909FF7" w:rsidR="00535D21" w:rsidRPr="000032F5" w:rsidRDefault="00E7636A" w:rsidP="00E7636A">
      <w:pPr>
        <w:pStyle w:val="Odstavecseseznamem"/>
        <w:numPr>
          <w:ilvl w:val="0"/>
          <w:numId w:val="40"/>
        </w:numPr>
        <w:jc w:val="both"/>
        <w:rPr>
          <w:sz w:val="24"/>
          <w:szCs w:val="24"/>
        </w:rPr>
      </w:pPr>
      <w:r w:rsidRPr="00E7636A">
        <w:rPr>
          <w:b/>
          <w:bCs/>
          <w:sz w:val="24"/>
          <w:szCs w:val="24"/>
        </w:rPr>
        <w:t>Posilování obchodní politiky EU</w:t>
      </w:r>
      <w:r w:rsidRPr="00E7636A">
        <w:rPr>
          <w:sz w:val="24"/>
          <w:szCs w:val="24"/>
        </w:rPr>
        <w:t xml:space="preserve"> – další z opatření, která by pomohla mírnit dopady amerických cel (a obecněji krizí a šoků, jichž v důsledku rostoucí geopolitické nestability přibývá), je akcelerace vyjednávání a schvalování obchodních dohod. Jako zásadní se jeví zejména schválení obchodní dohody EU-</w:t>
      </w:r>
      <w:proofErr w:type="spellStart"/>
      <w:r w:rsidRPr="00E7636A">
        <w:rPr>
          <w:sz w:val="24"/>
          <w:szCs w:val="24"/>
        </w:rPr>
        <w:t>Mercosur</w:t>
      </w:r>
      <w:proofErr w:type="spellEnd"/>
      <w:r w:rsidRPr="00E7636A">
        <w:rPr>
          <w:sz w:val="24"/>
          <w:szCs w:val="24"/>
        </w:rPr>
        <w:t xml:space="preserve"> Radou EU (členským státům by měla být předložena v druhé půlce tohoto roku) a je třeba pokročit i v samotných vyjednáních s dalšími partnery jako Indie, Indonésie, Thajsko a Filipíny. Kromě toho je třeba usilovat i o posílení vztahů se stejně smýšlejícími partnery, jako je Kanada, Japonsko či UK. Zajímavé trhy pro české exportéry představují také Jižní Korea, či Vietnam, se kterými již obchodní dohody existují. </w:t>
      </w:r>
    </w:p>
    <w:p w14:paraId="21624B89" w14:textId="7675953B" w:rsidR="0005171B" w:rsidRDefault="0005171B" w:rsidP="0005171B">
      <w:pPr>
        <w:jc w:val="both"/>
        <w:rPr>
          <w:sz w:val="24"/>
          <w:szCs w:val="24"/>
        </w:rPr>
      </w:pPr>
      <w:r w:rsidRPr="0005171B">
        <w:rPr>
          <w:sz w:val="24"/>
          <w:szCs w:val="24"/>
        </w:rPr>
        <w:t>V úzké spolupráci s podnikatelskými reprezentacemi (SP ČR, HK ČR, AMSP a KZPS) probíhá zjišťování aktuálních potřeb českých firem jak na americkém trhu, tak na trzích mimo USA. Firmy jsou dotazovány zejména na očekávané dopady amerických cel na jejich export – jak v konkrétních sektorech</w:t>
      </w:r>
      <w:r w:rsidR="00237D2F">
        <w:rPr>
          <w:sz w:val="24"/>
          <w:szCs w:val="24"/>
        </w:rPr>
        <w:t>,</w:t>
      </w:r>
      <w:r w:rsidRPr="0005171B">
        <w:rPr>
          <w:sz w:val="24"/>
          <w:szCs w:val="24"/>
        </w:rPr>
        <w:t xml:space="preserve"> tak v souvislosti s plošnými cly na dovoz z EU. Zjišťujeme také, zda podniky zvažují přesun části výroby do USA a jaké nástroje podpory by v tomto případě považovaly za nejvhodnější. Dalším klíčovým aspektem je identifikace potenciálních trhů, které by mohly alespoň částečně kompenzovat případné ztráty na americkém trhu, a to například v Evropě, Kanadě, Mexiku, zemích </w:t>
      </w:r>
      <w:proofErr w:type="spellStart"/>
      <w:r w:rsidRPr="0005171B">
        <w:rPr>
          <w:sz w:val="24"/>
          <w:szCs w:val="24"/>
        </w:rPr>
        <w:t>Mercosur</w:t>
      </w:r>
      <w:proofErr w:type="spellEnd"/>
      <w:r w:rsidRPr="0005171B">
        <w:rPr>
          <w:sz w:val="24"/>
          <w:szCs w:val="24"/>
        </w:rPr>
        <w:t>, Číně, jihovýchodní Asii či Africe.</w:t>
      </w:r>
      <w:r w:rsidR="00237D2F">
        <w:rPr>
          <w:sz w:val="24"/>
          <w:szCs w:val="24"/>
        </w:rPr>
        <w:t xml:space="preserve"> </w:t>
      </w:r>
      <w:r w:rsidRPr="0005171B">
        <w:rPr>
          <w:sz w:val="24"/>
          <w:szCs w:val="24"/>
        </w:rPr>
        <w:t>Výsledky průzkumu budou sloužit jako podklad pro případnou úpravu nabízených služeb, aby co nejlépe odpovídaly novým výzvám a požadavkům exportérů – včetně možného posílení či zacílení finančních nástrojů, podpory účasti na výstavách a veletrzích, výše uvedených služeb zahraničních kanceláří CzechTrade a ekonomických diplomatů či organizace podnikatelských misí.</w:t>
      </w:r>
      <w:r w:rsidR="00D328D9">
        <w:rPr>
          <w:sz w:val="24"/>
          <w:szCs w:val="24"/>
        </w:rPr>
        <w:t xml:space="preserve"> </w:t>
      </w:r>
      <w:r w:rsidR="00D328D9" w:rsidRPr="00D328D9">
        <w:rPr>
          <w:sz w:val="24"/>
          <w:szCs w:val="24"/>
        </w:rPr>
        <w:t xml:space="preserve">Podpůrným nástrojem bude pak intenzivní využití sítě regionálních exportních konzultantů CzechTrade (v rámci sítě regionálních kanceláří CzechInvest) a maximalizace využití aktuálního redesignu služby na podporu malých a středních podniků </w:t>
      </w:r>
      <w:proofErr w:type="spellStart"/>
      <w:r w:rsidR="00D328D9" w:rsidRPr="00D328D9">
        <w:rPr>
          <w:sz w:val="24"/>
          <w:szCs w:val="24"/>
        </w:rPr>
        <w:t>Enterprise</w:t>
      </w:r>
      <w:proofErr w:type="spellEnd"/>
      <w:r w:rsidR="00D328D9" w:rsidRPr="00D328D9">
        <w:rPr>
          <w:sz w:val="24"/>
          <w:szCs w:val="24"/>
        </w:rPr>
        <w:t xml:space="preserve"> </w:t>
      </w:r>
      <w:proofErr w:type="spellStart"/>
      <w:r w:rsidR="00D328D9" w:rsidRPr="00D328D9">
        <w:rPr>
          <w:sz w:val="24"/>
          <w:szCs w:val="24"/>
        </w:rPr>
        <w:t>Europe</w:t>
      </w:r>
      <w:proofErr w:type="spellEnd"/>
      <w:r w:rsidR="00D328D9" w:rsidRPr="00D328D9">
        <w:rPr>
          <w:sz w:val="24"/>
          <w:szCs w:val="24"/>
        </w:rPr>
        <w:t xml:space="preserve"> Network v ČR, která bude využívat sítě regionálních kanceláří agentury CzechInvest se zapojením CzechTrade a dalších partnerů.</w:t>
      </w:r>
    </w:p>
    <w:p w14:paraId="6A568D2D" w14:textId="64A65E93" w:rsidR="0005171B" w:rsidRDefault="0005171B" w:rsidP="0005171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Závěr</w:t>
      </w:r>
    </w:p>
    <w:p w14:paraId="5D871627" w14:textId="1CA6F23A" w:rsidR="00237D2F" w:rsidRPr="00237D2F" w:rsidRDefault="00237D2F" w:rsidP="00051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Dopady amerických cel na český export a celkově českou ekonomiku se ukáží až v následujících měsících, lze však očekávat, že </w:t>
      </w:r>
      <w:r w:rsidR="00662045">
        <w:rPr>
          <w:sz w:val="24"/>
          <w:szCs w:val="24"/>
        </w:rPr>
        <w:t xml:space="preserve">nějaké </w:t>
      </w:r>
      <w:r>
        <w:rPr>
          <w:sz w:val="24"/>
          <w:szCs w:val="24"/>
        </w:rPr>
        <w:t xml:space="preserve">dopady budou. </w:t>
      </w:r>
      <w:r w:rsidR="000032F5" w:rsidRPr="00E7636A">
        <w:rPr>
          <w:sz w:val="24"/>
          <w:szCs w:val="24"/>
        </w:rPr>
        <w:t>Pokud v brzké době nedojde k uzavření dohody s USA, bude třeba na vládě diskutovat o dalších opatřeních a možnostech posílení podpory exportu v České republice</w:t>
      </w:r>
      <w:r w:rsidR="00FC49BD">
        <w:rPr>
          <w:sz w:val="24"/>
          <w:szCs w:val="24"/>
        </w:rPr>
        <w:t xml:space="preserve"> a dalších opatřeních dle potřeby a dostupných nástrojů</w:t>
      </w:r>
      <w:r w:rsidR="000032F5" w:rsidRPr="00E7636A">
        <w:rPr>
          <w:sz w:val="24"/>
          <w:szCs w:val="24"/>
        </w:rPr>
        <w:t>.</w:t>
      </w:r>
      <w:r w:rsidR="000032F5">
        <w:rPr>
          <w:sz w:val="24"/>
          <w:szCs w:val="24"/>
        </w:rPr>
        <w:t xml:space="preserve"> </w:t>
      </w:r>
    </w:p>
    <w:p w14:paraId="3C6A149A" w14:textId="77777777" w:rsidR="0005171B" w:rsidRPr="0005171B" w:rsidRDefault="0005171B" w:rsidP="0005171B">
      <w:pPr>
        <w:jc w:val="both"/>
        <w:rPr>
          <w:sz w:val="24"/>
          <w:szCs w:val="24"/>
        </w:rPr>
      </w:pPr>
    </w:p>
    <w:p w14:paraId="19EA6496" w14:textId="77777777" w:rsidR="00F67F1C" w:rsidRPr="00086CF6" w:rsidRDefault="00F67F1C" w:rsidP="00086CF6">
      <w:pPr>
        <w:jc w:val="both"/>
        <w:rPr>
          <w:sz w:val="24"/>
          <w:szCs w:val="24"/>
        </w:rPr>
      </w:pPr>
    </w:p>
    <w:p w14:paraId="68E53F42" w14:textId="77777777" w:rsidR="00A043E4" w:rsidRPr="00A043E4" w:rsidRDefault="00A043E4" w:rsidP="00605759">
      <w:pPr>
        <w:rPr>
          <w:sz w:val="24"/>
          <w:szCs w:val="24"/>
        </w:rPr>
      </w:pPr>
    </w:p>
    <w:sectPr w:rsidR="00A043E4" w:rsidRPr="00A043E4" w:rsidSect="00CC5E4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E42F1" w14:textId="77777777" w:rsidR="00A043E4" w:rsidRDefault="00A043E4" w:rsidP="00677FE0">
      <w:pPr>
        <w:spacing w:after="0" w:line="240" w:lineRule="auto"/>
      </w:pPr>
      <w:r>
        <w:separator/>
      </w:r>
    </w:p>
  </w:endnote>
  <w:endnote w:type="continuationSeparator" w:id="0">
    <w:p w14:paraId="42BE4B6D" w14:textId="77777777" w:rsidR="00A043E4" w:rsidRDefault="00A043E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551645"/>
      <w:docPartObj>
        <w:docPartGallery w:val="Page Numbers (Bottom of Page)"/>
        <w:docPartUnique/>
      </w:docPartObj>
    </w:sdtPr>
    <w:sdtEndPr/>
    <w:sdtContent>
      <w:p w14:paraId="469DCA2B" w14:textId="76CF1C70" w:rsidR="00BF4666" w:rsidRDefault="00BF46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D9A6C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50FB8" w14:textId="77777777" w:rsidR="00A043E4" w:rsidRDefault="00A043E4" w:rsidP="00677FE0">
      <w:pPr>
        <w:spacing w:after="0" w:line="240" w:lineRule="auto"/>
      </w:pPr>
      <w:r>
        <w:separator/>
      </w:r>
    </w:p>
  </w:footnote>
  <w:footnote w:type="continuationSeparator" w:id="0">
    <w:p w14:paraId="7A424208" w14:textId="77777777" w:rsidR="00A043E4" w:rsidRDefault="00A043E4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59B3D3F"/>
    <w:multiLevelType w:val="hybridMultilevel"/>
    <w:tmpl w:val="34423E52"/>
    <w:lvl w:ilvl="0" w:tplc="6810A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4B005D"/>
    <w:multiLevelType w:val="hybridMultilevel"/>
    <w:tmpl w:val="3D1CC290"/>
    <w:lvl w:ilvl="0" w:tplc="6810A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D3068A6"/>
    <w:multiLevelType w:val="multilevel"/>
    <w:tmpl w:val="3320A8B2"/>
    <w:numStyleLink w:val="VariantaB-odrky"/>
  </w:abstractNum>
  <w:abstractNum w:abstractNumId="22" w15:restartNumberingAfterBreak="0">
    <w:nsid w:val="1D464EC2"/>
    <w:multiLevelType w:val="multilevel"/>
    <w:tmpl w:val="E8BAE50A"/>
    <w:numStyleLink w:val="VariantaA-odrky"/>
  </w:abstractNum>
  <w:abstractNum w:abstractNumId="23" w15:restartNumberingAfterBreak="0">
    <w:nsid w:val="1E9561A4"/>
    <w:multiLevelType w:val="hybridMultilevel"/>
    <w:tmpl w:val="FF004076"/>
    <w:lvl w:ilvl="0" w:tplc="6810A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26AD7FE5"/>
    <w:multiLevelType w:val="hybridMultilevel"/>
    <w:tmpl w:val="A830D64A"/>
    <w:lvl w:ilvl="0" w:tplc="6810A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9A5EA2"/>
    <w:multiLevelType w:val="multilevel"/>
    <w:tmpl w:val="E8BAE50A"/>
    <w:numStyleLink w:val="VariantaA-odrky"/>
  </w:abstractNum>
  <w:abstractNum w:abstractNumId="27" w15:restartNumberingAfterBreak="0">
    <w:nsid w:val="28AB573E"/>
    <w:multiLevelType w:val="multilevel"/>
    <w:tmpl w:val="3320A8B2"/>
    <w:numStyleLink w:val="VariantaB-odrky"/>
  </w:abstractNum>
  <w:abstractNum w:abstractNumId="28" w15:restartNumberingAfterBreak="0">
    <w:nsid w:val="2A5F2D39"/>
    <w:multiLevelType w:val="multilevel"/>
    <w:tmpl w:val="E8BAE50A"/>
    <w:numStyleLink w:val="VariantaA-odrky"/>
  </w:abstractNum>
  <w:abstractNum w:abstractNumId="29" w15:restartNumberingAfterBreak="0">
    <w:nsid w:val="2DBB2CE6"/>
    <w:multiLevelType w:val="multilevel"/>
    <w:tmpl w:val="E8BAE50A"/>
    <w:numStyleLink w:val="VariantaA-odrky"/>
  </w:abstractNum>
  <w:abstractNum w:abstractNumId="30" w15:restartNumberingAfterBreak="0">
    <w:nsid w:val="355131EF"/>
    <w:multiLevelType w:val="multilevel"/>
    <w:tmpl w:val="E8A48D7C"/>
    <w:numStyleLink w:val="VariantaA-sla"/>
  </w:abstractNum>
  <w:abstractNum w:abstractNumId="31" w15:restartNumberingAfterBreak="0">
    <w:nsid w:val="4A306389"/>
    <w:multiLevelType w:val="multilevel"/>
    <w:tmpl w:val="E8BAE50A"/>
    <w:numStyleLink w:val="VariantaA-odrky"/>
  </w:abstractNum>
  <w:abstractNum w:abstractNumId="32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3290926"/>
    <w:multiLevelType w:val="multilevel"/>
    <w:tmpl w:val="E8BAE50A"/>
    <w:numStyleLink w:val="VariantaA-odrky"/>
  </w:abstractNum>
  <w:abstractNum w:abstractNumId="34" w15:restartNumberingAfterBreak="0">
    <w:nsid w:val="533902EA"/>
    <w:multiLevelType w:val="multilevel"/>
    <w:tmpl w:val="E8BAE50A"/>
    <w:numStyleLink w:val="VariantaA-odrky"/>
  </w:abstractNum>
  <w:abstractNum w:abstractNumId="35" w15:restartNumberingAfterBreak="0">
    <w:nsid w:val="571C11E2"/>
    <w:multiLevelType w:val="multilevel"/>
    <w:tmpl w:val="E8A48D7C"/>
    <w:numStyleLink w:val="VariantaA-sla"/>
  </w:abstractNum>
  <w:abstractNum w:abstractNumId="3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7" w15:restartNumberingAfterBreak="0">
    <w:nsid w:val="5AF35F43"/>
    <w:multiLevelType w:val="multilevel"/>
    <w:tmpl w:val="0D8ABE32"/>
    <w:numStyleLink w:val="VariantaB-sla"/>
  </w:abstractNum>
  <w:num w:numId="1" w16cid:durableId="823282274">
    <w:abstractNumId w:val="17"/>
  </w:num>
  <w:num w:numId="2" w16cid:durableId="874074120">
    <w:abstractNumId w:val="36"/>
  </w:num>
  <w:num w:numId="3" w16cid:durableId="2008246648">
    <w:abstractNumId w:val="21"/>
  </w:num>
  <w:num w:numId="4" w16cid:durableId="294876065">
    <w:abstractNumId w:val="15"/>
  </w:num>
  <w:num w:numId="5" w16cid:durableId="115730078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771320675">
    <w:abstractNumId w:val="32"/>
  </w:num>
  <w:num w:numId="7" w16cid:durableId="159127550">
    <w:abstractNumId w:val="7"/>
  </w:num>
  <w:num w:numId="8" w16cid:durableId="168176462">
    <w:abstractNumId w:val="35"/>
  </w:num>
  <w:num w:numId="9" w16cid:durableId="237524112">
    <w:abstractNumId w:val="5"/>
  </w:num>
  <w:num w:numId="10" w16cid:durableId="400953377">
    <w:abstractNumId w:val="2"/>
  </w:num>
  <w:num w:numId="11" w16cid:durableId="777798836">
    <w:abstractNumId w:val="1"/>
  </w:num>
  <w:num w:numId="12" w16cid:durableId="943806743">
    <w:abstractNumId w:val="0"/>
  </w:num>
  <w:num w:numId="13" w16cid:durableId="615523579">
    <w:abstractNumId w:val="34"/>
  </w:num>
  <w:num w:numId="14" w16cid:durableId="1698895997">
    <w:abstractNumId w:val="4"/>
  </w:num>
  <w:num w:numId="15" w16cid:durableId="1307540905">
    <w:abstractNumId w:val="3"/>
  </w:num>
  <w:num w:numId="16" w16cid:durableId="1183982974">
    <w:abstractNumId w:val="32"/>
  </w:num>
  <w:num w:numId="17" w16cid:durableId="775903118">
    <w:abstractNumId w:val="22"/>
  </w:num>
  <w:num w:numId="18" w16cid:durableId="48110901">
    <w:abstractNumId w:val="6"/>
  </w:num>
  <w:num w:numId="19" w16cid:durableId="864100488">
    <w:abstractNumId w:val="13"/>
  </w:num>
  <w:num w:numId="20" w16cid:durableId="1668435363">
    <w:abstractNumId w:val="8"/>
  </w:num>
  <w:num w:numId="21" w16cid:durableId="1638492743">
    <w:abstractNumId w:val="30"/>
  </w:num>
  <w:num w:numId="22" w16cid:durableId="831218317">
    <w:abstractNumId w:val="10"/>
  </w:num>
  <w:num w:numId="23" w16cid:durableId="868957015">
    <w:abstractNumId w:val="24"/>
  </w:num>
  <w:num w:numId="24" w16cid:durableId="458693074">
    <w:abstractNumId w:val="12"/>
  </w:num>
  <w:num w:numId="25" w16cid:durableId="1891724663">
    <w:abstractNumId w:val="16"/>
  </w:num>
  <w:num w:numId="26" w16cid:durableId="2081781617">
    <w:abstractNumId w:val="31"/>
  </w:num>
  <w:num w:numId="27" w16cid:durableId="771164340">
    <w:abstractNumId w:val="29"/>
  </w:num>
  <w:num w:numId="28" w16cid:durableId="63725626">
    <w:abstractNumId w:val="28"/>
  </w:num>
  <w:num w:numId="29" w16cid:durableId="1683240761">
    <w:abstractNumId w:val="20"/>
  </w:num>
  <w:num w:numId="30" w16cid:durableId="632488973">
    <w:abstractNumId w:val="33"/>
  </w:num>
  <w:num w:numId="31" w16cid:durableId="412122475">
    <w:abstractNumId w:val="37"/>
  </w:num>
  <w:num w:numId="32" w16cid:durableId="725030729">
    <w:abstractNumId w:val="26"/>
  </w:num>
  <w:num w:numId="33" w16cid:durableId="1160776698">
    <w:abstractNumId w:val="18"/>
  </w:num>
  <w:num w:numId="34" w16cid:durableId="2046905008">
    <w:abstractNumId w:val="9"/>
  </w:num>
  <w:num w:numId="35" w16cid:durableId="720402678">
    <w:abstractNumId w:val="27"/>
  </w:num>
  <w:num w:numId="36" w16cid:durableId="1304502781">
    <w:abstractNumId w:val="14"/>
  </w:num>
  <w:num w:numId="37" w16cid:durableId="1672097504">
    <w:abstractNumId w:val="19"/>
  </w:num>
  <w:num w:numId="38" w16cid:durableId="1260866663">
    <w:abstractNumId w:val="25"/>
  </w:num>
  <w:num w:numId="39" w16cid:durableId="1404452513">
    <w:abstractNumId w:val="23"/>
  </w:num>
  <w:num w:numId="40" w16cid:durableId="198665892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E4"/>
    <w:rsid w:val="000032F5"/>
    <w:rsid w:val="00015306"/>
    <w:rsid w:val="0002674B"/>
    <w:rsid w:val="0004162E"/>
    <w:rsid w:val="0004786B"/>
    <w:rsid w:val="0005171B"/>
    <w:rsid w:val="00063405"/>
    <w:rsid w:val="000809B9"/>
    <w:rsid w:val="00086CF6"/>
    <w:rsid w:val="00090B40"/>
    <w:rsid w:val="00095A0A"/>
    <w:rsid w:val="000B1B3D"/>
    <w:rsid w:val="000C4CAF"/>
    <w:rsid w:val="000E38DF"/>
    <w:rsid w:val="00121485"/>
    <w:rsid w:val="001268B0"/>
    <w:rsid w:val="0018051B"/>
    <w:rsid w:val="001B1E4A"/>
    <w:rsid w:val="001B719E"/>
    <w:rsid w:val="001D27C0"/>
    <w:rsid w:val="001E74C3"/>
    <w:rsid w:val="001F6937"/>
    <w:rsid w:val="00220DE3"/>
    <w:rsid w:val="00237D2F"/>
    <w:rsid w:val="0025290D"/>
    <w:rsid w:val="00260372"/>
    <w:rsid w:val="00262DAF"/>
    <w:rsid w:val="00271E46"/>
    <w:rsid w:val="00285AED"/>
    <w:rsid w:val="00297BAC"/>
    <w:rsid w:val="002E2442"/>
    <w:rsid w:val="002F0E8C"/>
    <w:rsid w:val="00310FA0"/>
    <w:rsid w:val="00312A24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35D21"/>
    <w:rsid w:val="005455E1"/>
    <w:rsid w:val="005502BD"/>
    <w:rsid w:val="00556787"/>
    <w:rsid w:val="00582276"/>
    <w:rsid w:val="0059045E"/>
    <w:rsid w:val="005C2560"/>
    <w:rsid w:val="005F7585"/>
    <w:rsid w:val="00605759"/>
    <w:rsid w:val="00641B3B"/>
    <w:rsid w:val="00650C6C"/>
    <w:rsid w:val="00652FE6"/>
    <w:rsid w:val="006575E8"/>
    <w:rsid w:val="00662045"/>
    <w:rsid w:val="00667898"/>
    <w:rsid w:val="00677FE0"/>
    <w:rsid w:val="00690C7E"/>
    <w:rsid w:val="006D04EF"/>
    <w:rsid w:val="006E2FB0"/>
    <w:rsid w:val="007102D2"/>
    <w:rsid w:val="00713948"/>
    <w:rsid w:val="00753A27"/>
    <w:rsid w:val="007763AA"/>
    <w:rsid w:val="0079342A"/>
    <w:rsid w:val="007B4949"/>
    <w:rsid w:val="007C19B1"/>
    <w:rsid w:val="007D10EC"/>
    <w:rsid w:val="007F0BC6"/>
    <w:rsid w:val="00831374"/>
    <w:rsid w:val="00857580"/>
    <w:rsid w:val="00862275"/>
    <w:rsid w:val="00865238"/>
    <w:rsid w:val="008667BF"/>
    <w:rsid w:val="00895645"/>
    <w:rsid w:val="008A7851"/>
    <w:rsid w:val="008C3782"/>
    <w:rsid w:val="008D0CCD"/>
    <w:rsid w:val="008D4A32"/>
    <w:rsid w:val="008D593A"/>
    <w:rsid w:val="008E7760"/>
    <w:rsid w:val="00922001"/>
    <w:rsid w:val="00922C17"/>
    <w:rsid w:val="00942DDD"/>
    <w:rsid w:val="009516A8"/>
    <w:rsid w:val="009538A5"/>
    <w:rsid w:val="00957CBA"/>
    <w:rsid w:val="0097705C"/>
    <w:rsid w:val="00982C8A"/>
    <w:rsid w:val="009F393D"/>
    <w:rsid w:val="009F7F46"/>
    <w:rsid w:val="00A000BF"/>
    <w:rsid w:val="00A043E4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C6526"/>
    <w:rsid w:val="00BD75A2"/>
    <w:rsid w:val="00BF4666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28D9"/>
    <w:rsid w:val="00D3349E"/>
    <w:rsid w:val="00D73CB8"/>
    <w:rsid w:val="00DA7591"/>
    <w:rsid w:val="00DF7666"/>
    <w:rsid w:val="00E051F5"/>
    <w:rsid w:val="00E06C46"/>
    <w:rsid w:val="00E32798"/>
    <w:rsid w:val="00E33CC8"/>
    <w:rsid w:val="00E51C91"/>
    <w:rsid w:val="00E667C1"/>
    <w:rsid w:val="00E7636A"/>
    <w:rsid w:val="00E97963"/>
    <w:rsid w:val="00EC3F88"/>
    <w:rsid w:val="00ED36D8"/>
    <w:rsid w:val="00EE6BD7"/>
    <w:rsid w:val="00EE7A0B"/>
    <w:rsid w:val="00F0689D"/>
    <w:rsid w:val="00F67F1C"/>
    <w:rsid w:val="00FB01B5"/>
    <w:rsid w:val="00FC49BD"/>
    <w:rsid w:val="00FC5F7D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67D11D"/>
  <w15:chartTrackingRefBased/>
  <w15:docId w15:val="{74784C50-2666-4629-9D90-4A924AE6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957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CB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CBA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npsmoodstavce"/>
    <w:rsid w:val="00FE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2295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Rücklová Alžběta</dc:creator>
  <cp:keywords/>
  <dc:description/>
  <cp:lastModifiedBy>Kadečka David</cp:lastModifiedBy>
  <cp:revision>2</cp:revision>
  <dcterms:created xsi:type="dcterms:W3CDTF">2025-04-22T09:55:00Z</dcterms:created>
  <dcterms:modified xsi:type="dcterms:W3CDTF">2025-04-22T09:55:00Z</dcterms:modified>
</cp:coreProperties>
</file>